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5B7C93">
        <w:tc>
          <w:tcPr>
            <w:tcW w:w="10080" w:type="dxa"/>
          </w:tcPr>
          <w:p w:rsidR="005B7C93" w:rsidRDefault="008E1D57">
            <w:pPr>
              <w:spacing w:before="2" w:after="2"/>
              <w:jc w:val="center"/>
              <w:rPr>
                <w:b/>
                <w:bCs/>
                <w:sz w:val="28"/>
                <w:szCs w:val="28"/>
              </w:rPr>
            </w:pPr>
            <w:r>
              <w:rPr>
                <w:noProof/>
              </w:rPr>
              <w:drawing>
                <wp:inline distT="0" distB="0" distL="0" distR="0">
                  <wp:extent cx="2228850" cy="1005253"/>
                  <wp:effectExtent l="0" t="0" r="0" b="4445"/>
                  <wp:docPr id="1" name="Picture 1" descr="Santaquin U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cstate="print">
                            <a:extLst>
                              <a:ext uri="{28A0092B-C50C-407E-A947-70E740481C1C}">
                                <a14:useLocalDpi xmlns:a14="http://schemas.microsoft.com/office/drawing/2010/main" val="0"/>
                              </a:ext>
                            </a:extLst>
                          </a:blip>
                          <a:srcRect b="7717"/>
                          <a:stretch>
                            <a:fillRect/>
                          </a:stretch>
                        </pic:blipFill>
                        <pic:spPr bwMode="auto">
                          <a:xfrm>
                            <a:off x="0" y="0"/>
                            <a:ext cx="2228850" cy="1005253"/>
                          </a:xfrm>
                          <a:prstGeom prst="rect">
                            <a:avLst/>
                          </a:prstGeom>
                          <a:extLst>
                            <a:ext uri="{53640926-AAD7-44D8-BBD7-CCE9431645EC}">
                              <a14:shadowObscured xmlns:a14="http://schemas.microsoft.com/office/drawing/2010/main"/>
                            </a:ext>
                          </a:extLst>
                        </pic:spPr>
                      </pic:pic>
                    </a:graphicData>
                  </a:graphic>
                </wp:inline>
              </w:drawing>
            </w:r>
          </w:p>
        </w:tc>
      </w:tr>
      <w:tr w:rsidR="005B7C93">
        <w:tc>
          <w:tcPr>
            <w:tcW w:w="10080" w:type="dxa"/>
          </w:tcPr>
          <w:p w:rsidR="005B7C93" w:rsidRDefault="008E1D57">
            <w:pPr>
              <w:spacing w:before="2" w:after="2"/>
              <w:jc w:val="center"/>
              <w:rPr>
                <w:rFonts w:ascii="Arial Bold" w:eastAsia="Arial Bold" w:hAnsi="Arial Bold"/>
                <w:b/>
                <w:bCs/>
                <w:caps/>
              </w:rPr>
            </w:pPr>
            <w:bookmarkStart w:id="0" w:name="apMeetingName"/>
            <w:r>
              <w:rPr>
                <w:rFonts w:ascii="Arial Bold" w:eastAsia="Arial Bold" w:hAnsi="Arial Bold"/>
                <w:b/>
                <w:bCs/>
                <w:caps/>
                <w:sz w:val="28"/>
                <w:szCs w:val="28"/>
              </w:rPr>
              <w:t>CANCELED- Planning Commission</w:t>
            </w:r>
            <w:bookmarkEnd w:id="0"/>
          </w:p>
        </w:tc>
      </w:tr>
      <w:tr w:rsidR="005B7C93">
        <w:tc>
          <w:tcPr>
            <w:tcW w:w="10080" w:type="dxa"/>
          </w:tcPr>
          <w:p w:rsidR="005B7C93" w:rsidRDefault="008E1D57">
            <w:pPr>
              <w:spacing w:before="20" w:after="20"/>
              <w:jc w:val="center"/>
            </w:pPr>
            <w:bookmarkStart w:id="1" w:name="apMeetingDateLong"/>
            <w:r>
              <w:rPr>
                <w:rFonts w:cs="Arial"/>
              </w:rPr>
              <w:t>Tuesday, October 27, 2020</w:t>
            </w:r>
            <w:bookmarkEnd w:id="1"/>
            <w:r>
              <w:rPr>
                <w:rFonts w:cs="Arial"/>
              </w:rPr>
              <w:t xml:space="preserve">, at </w:t>
            </w:r>
            <w:bookmarkStart w:id="2" w:name="apMeetingTime"/>
            <w:r>
              <w:rPr>
                <w:rFonts w:cs="Arial"/>
                <w:color w:val="000000"/>
              </w:rPr>
              <w:t>7:00 PM</w:t>
            </w:r>
            <w:bookmarkEnd w:id="2"/>
          </w:p>
        </w:tc>
      </w:tr>
      <w:tr w:rsidR="005B7C93">
        <w:tc>
          <w:tcPr>
            <w:tcW w:w="10080" w:type="dxa"/>
            <w:tcBorders>
              <w:bottom w:val="single" w:sz="18" w:space="0" w:color="0F6CA6"/>
            </w:tcBorders>
          </w:tcPr>
          <w:p w:rsidR="005B7C93" w:rsidRDefault="008E1D57">
            <w:pPr>
              <w:spacing w:before="2" w:after="120"/>
              <w:jc w:val="center"/>
            </w:pPr>
            <w:bookmarkStart w:id="3" w:name="apMeetingVenue"/>
            <w:r>
              <w:rPr>
                <w:rFonts w:cs="Arial"/>
                <w:color w:val="000000"/>
              </w:rPr>
              <w:t>Court Room/Council Chambers (2nd Floor) and Online</w:t>
            </w:r>
            <w:bookmarkEnd w:id="3"/>
          </w:p>
        </w:tc>
      </w:tr>
      <w:tr w:rsidR="005B7C93">
        <w:tc>
          <w:tcPr>
            <w:tcW w:w="10080" w:type="dxa"/>
            <w:tcBorders>
              <w:top w:val="single" w:sz="18" w:space="0" w:color="0F6CA6"/>
            </w:tcBorders>
          </w:tcPr>
          <w:p w:rsidR="005B7C93" w:rsidRDefault="008E1D57">
            <w:pPr>
              <w:tabs>
                <w:tab w:val="left" w:pos="2175"/>
              </w:tabs>
              <w:spacing w:before="120" w:after="60"/>
              <w:jc w:val="center"/>
              <w:rPr>
                <w:b/>
                <w:bCs/>
                <w:sz w:val="24"/>
                <w:szCs w:val="24"/>
                <w:highlight w:val="yellow"/>
              </w:rPr>
            </w:pPr>
            <w:r>
              <w:rPr>
                <w:b/>
                <w:bCs/>
                <w:sz w:val="24"/>
                <w:szCs w:val="24"/>
                <w:highlight w:val="yellow"/>
              </w:rPr>
              <w:t>MEETINGS HELD ONLINE ONLY</w:t>
            </w:r>
          </w:p>
          <w:p w:rsidR="005B7C93" w:rsidRDefault="005B7C93">
            <w:pPr>
              <w:tabs>
                <w:tab w:val="left" w:pos="2175"/>
              </w:tabs>
              <w:spacing w:before="120" w:after="60"/>
              <w:rPr>
                <w:color w:val="000000"/>
                <w:sz w:val="2"/>
                <w:highlight w:val="yellow"/>
              </w:rPr>
            </w:pPr>
          </w:p>
        </w:tc>
      </w:tr>
      <w:tr w:rsidR="005B7C93">
        <w:tc>
          <w:tcPr>
            <w:tcW w:w="10080" w:type="dxa"/>
            <w:vAlign w:val="center"/>
          </w:tcPr>
          <w:p w:rsidR="005B7C93" w:rsidRDefault="008E1D57">
            <w:pPr>
              <w:rPr>
                <w:highlight w:val="yellow"/>
              </w:rPr>
            </w:pPr>
            <w:r>
              <w:rPr>
                <w:highlight w:val="yellow"/>
              </w:rPr>
              <w:t>Pursuant to recent updates from the Utah State Department of Health regarding the number of people allowed to gather physically for a public meeting, in-person participation will be limited to elected and appointed city officials only. The public is invited to participate electronically as outlined below:</w:t>
            </w:r>
          </w:p>
          <w:p w:rsidR="005B7C93" w:rsidRDefault="005B7C93">
            <w:pPr>
              <w:rPr>
                <w:highlight w:val="yellow"/>
              </w:rPr>
            </w:pPr>
          </w:p>
        </w:tc>
      </w:tr>
      <w:tr w:rsidR="005B7C93">
        <w:tc>
          <w:tcPr>
            <w:tcW w:w="10080" w:type="dxa"/>
            <w:tcBorders>
              <w:bottom w:val="single" w:sz="18" w:space="0" w:color="0F6CA6"/>
            </w:tcBorders>
            <w:vAlign w:val="center"/>
          </w:tcPr>
          <w:p w:rsidR="005B7C93" w:rsidRDefault="008E1D57">
            <w:pPr>
              <w:pStyle w:val="ListParagraph"/>
              <w:numPr>
                <w:ilvl w:val="0"/>
                <w:numId w:val="3"/>
              </w:numPr>
              <w:spacing w:after="160" w:line="252" w:lineRule="auto"/>
            </w:pPr>
            <w:r>
              <w:rPr>
                <w:b/>
                <w:bCs/>
              </w:rPr>
              <w:t xml:space="preserve">YouTube Live – </w:t>
            </w:r>
            <w:r>
              <w:rPr>
                <w:bCs/>
              </w:rPr>
              <w:t xml:space="preserve">Public meetings will be shown live on the Santaquin City YouTube Channel, which can be found at </w:t>
            </w:r>
            <w:hyperlink r:id="rId12" w:history="1">
              <w:r>
                <w:rPr>
                  <w:rStyle w:val="Hyperlink"/>
                  <w:color w:val="0F6CA6"/>
                </w:rPr>
                <w:t>https://www.youtube.com/channel/UCTzZT_yW2H2Hd-58M2_ddSw</w:t>
              </w:r>
            </w:hyperlink>
            <w:r>
              <w:t> </w:t>
            </w:r>
          </w:p>
          <w:p w:rsidR="005B7C93" w:rsidRDefault="008E1D57">
            <w:pPr>
              <w:pStyle w:val="ListParagraph"/>
              <w:spacing w:before="60"/>
              <w:contextualSpacing w:val="0"/>
            </w:pPr>
            <w:r>
              <w:t>or by searching for Santaquin City Channel on YouTube.</w:t>
            </w:r>
          </w:p>
          <w:p w:rsidR="005B7C93" w:rsidRDefault="005B7C93">
            <w:pPr>
              <w:pStyle w:val="ListParagraph"/>
              <w:spacing w:before="60"/>
              <w:contextualSpacing w:val="0"/>
              <w:rPr>
                <w:sz w:val="4"/>
              </w:rPr>
            </w:pPr>
          </w:p>
        </w:tc>
      </w:tr>
      <w:tr w:rsidR="005B7C93">
        <w:tc>
          <w:tcPr>
            <w:tcW w:w="10080" w:type="dxa"/>
            <w:tcBorders>
              <w:top w:val="single" w:sz="18" w:space="0" w:color="0F6CA6"/>
            </w:tcBorders>
          </w:tcPr>
          <w:p w:rsidR="005B7C93" w:rsidRDefault="008E1D57">
            <w:pPr>
              <w:tabs>
                <w:tab w:val="left" w:pos="2175"/>
              </w:tabs>
              <w:spacing w:before="120" w:after="60"/>
              <w:jc w:val="center"/>
              <w:rPr>
                <w:b/>
                <w:bCs/>
                <w:sz w:val="24"/>
                <w:szCs w:val="24"/>
              </w:rPr>
            </w:pPr>
            <w:r>
              <w:rPr>
                <w:b/>
                <w:bCs/>
                <w:sz w:val="24"/>
                <w:szCs w:val="24"/>
              </w:rPr>
              <w:t>PUBLIC COMMENT &amp; PUBLIC HEARING PARTICIPATION</w:t>
            </w:r>
          </w:p>
        </w:tc>
      </w:tr>
      <w:tr w:rsidR="005B7C93">
        <w:tc>
          <w:tcPr>
            <w:tcW w:w="10080" w:type="dxa"/>
            <w:vAlign w:val="center"/>
          </w:tcPr>
          <w:p w:rsidR="005B7C93" w:rsidRDefault="008E1D57">
            <w:pPr>
              <w:spacing w:before="60" w:after="60"/>
            </w:pPr>
            <w:r>
              <w:t>As with all City Council and Planning Commission Meetings, we will continue to invite the public to provide “Public Comment” (30-minute duration, maximum of 5-minutes per comment).  We will also continue to hold Public Hearings, as needed, and required on specific issues.  We invite the public to provide comment in the following ways:</w:t>
            </w:r>
          </w:p>
        </w:tc>
      </w:tr>
      <w:tr w:rsidR="005B7C93">
        <w:tc>
          <w:tcPr>
            <w:tcW w:w="10080" w:type="dxa"/>
            <w:tcBorders>
              <w:bottom w:val="single" w:sz="18" w:space="0" w:color="0F6CA6"/>
            </w:tcBorders>
          </w:tcPr>
          <w:p w:rsidR="005B7C93" w:rsidRDefault="008E1D57">
            <w:pPr>
              <w:pStyle w:val="ListParagraph"/>
              <w:numPr>
                <w:ilvl w:val="0"/>
                <w:numId w:val="1"/>
              </w:numPr>
              <w:spacing w:before="60"/>
              <w:contextualSpacing w:val="0"/>
            </w:pPr>
            <w:r>
              <w:rPr>
                <w:b/>
                <w:bCs/>
              </w:rPr>
              <w:t>By Email –</w:t>
            </w:r>
            <w:r>
              <w:t xml:space="preserve"> Comments will be accepted by email up to 5:00 P.M. on the date of the meeting.  Comments will be read during the meeting and made part of the official record of the city.  Comments should be submitted to </w:t>
            </w:r>
            <w:hyperlink r:id="rId13" w:history="1">
              <w:r>
                <w:rPr>
                  <w:rStyle w:val="Hyperlink"/>
                  <w:color w:val="0F6CA6"/>
                </w:rPr>
                <w:t>PublicComment@Santaquin.org</w:t>
              </w:r>
            </w:hyperlink>
            <w:r>
              <w:rPr>
                <w:color w:val="0F6CA6"/>
              </w:rPr>
              <w:t xml:space="preserve"> </w:t>
            </w:r>
          </w:p>
          <w:p w:rsidR="005B7C93" w:rsidRDefault="008E1D57">
            <w:pPr>
              <w:pStyle w:val="ListParagraph"/>
              <w:numPr>
                <w:ilvl w:val="0"/>
                <w:numId w:val="1"/>
              </w:numPr>
              <w:spacing w:before="60"/>
              <w:contextualSpacing w:val="0"/>
            </w:pPr>
            <w:r>
              <w:rPr>
                <w:b/>
                <w:bCs/>
              </w:rPr>
              <w:t>By Telephone –</w:t>
            </w:r>
            <w:r>
              <w:t xml:space="preserve"> For those who would like to have their own voice heard during the Public Comment or Public Hearing periods, please submit an email to </w:t>
            </w:r>
            <w:hyperlink r:id="rId14" w:history="1">
              <w:r>
                <w:rPr>
                  <w:rStyle w:val="Hyperlink"/>
                  <w:color w:val="0F6CA6"/>
                </w:rPr>
                <w:t>PublicComment@Santaquin.org</w:t>
              </w:r>
            </w:hyperlink>
            <w:r>
              <w:rPr>
                <w:color w:val="1F4E79"/>
              </w:rPr>
              <w:t xml:space="preserve"> </w:t>
            </w:r>
            <w:r>
              <w:t xml:space="preserve">providing us your Telephone Number.  </w:t>
            </w:r>
          </w:p>
          <w:p w:rsidR="005B7C93" w:rsidRDefault="005B7C93">
            <w:pPr>
              <w:pStyle w:val="ListParagraph"/>
              <w:spacing w:before="60"/>
              <w:contextualSpacing w:val="0"/>
            </w:pPr>
          </w:p>
        </w:tc>
      </w:tr>
      <w:tr w:rsidR="005B7C93">
        <w:tc>
          <w:tcPr>
            <w:tcW w:w="10080" w:type="dxa"/>
            <w:tcBorders>
              <w:top w:val="single" w:sz="18" w:space="0" w:color="0F6CA6"/>
            </w:tcBorders>
          </w:tcPr>
          <w:p w:rsidR="005B7C93" w:rsidRDefault="008E1D57">
            <w:pPr>
              <w:spacing w:before="120" w:after="60"/>
              <w:jc w:val="center"/>
              <w:rPr>
                <w:b/>
                <w:bCs/>
                <w:sz w:val="24"/>
                <w:szCs w:val="24"/>
              </w:rPr>
            </w:pPr>
            <w:r>
              <w:rPr>
                <w:b/>
                <w:bCs/>
                <w:sz w:val="24"/>
                <w:szCs w:val="24"/>
              </w:rPr>
              <w:t>ADA NOTICE</w:t>
            </w:r>
          </w:p>
        </w:tc>
      </w:tr>
      <w:tr w:rsidR="005B7C93">
        <w:trPr>
          <w:trHeight w:val="792"/>
        </w:trPr>
        <w:tc>
          <w:tcPr>
            <w:tcW w:w="10080" w:type="dxa"/>
          </w:tcPr>
          <w:p w:rsidR="005B7C93" w:rsidRDefault="008E1D57">
            <w:pPr>
              <w:spacing w:before="2" w:after="120"/>
              <w:jc w:val="both"/>
            </w:pPr>
            <w:r>
              <w:t>If you are planning to attend this Public Meeting and, due to a disability, need assistance in understanding or participating in the meeting, please notify the City Office ten or more hours in advance and we will, within reason, provide what assistance may be required.</w:t>
            </w:r>
          </w:p>
        </w:tc>
      </w:tr>
      <w:tr w:rsidR="005B7C93" w:rsidTr="000C7FD2">
        <w:trPr>
          <w:trHeight w:val="117"/>
        </w:trPr>
        <w:tc>
          <w:tcPr>
            <w:tcW w:w="10080" w:type="dxa"/>
            <w:shd w:val="clear" w:color="auto" w:fill="0F6CA6"/>
          </w:tcPr>
          <w:p w:rsidR="005B7C93" w:rsidRDefault="008E1D57">
            <w:pPr>
              <w:spacing w:before="60" w:after="60"/>
              <w:jc w:val="center"/>
              <w:rPr>
                <w:b/>
                <w:bCs/>
              </w:rPr>
            </w:pPr>
            <w:bookmarkStart w:id="4" w:name="_GoBack"/>
            <w:r>
              <w:rPr>
                <w:b/>
                <w:bCs/>
                <w:color w:val="FFFFFF"/>
                <w:sz w:val="28"/>
                <w:szCs w:val="28"/>
              </w:rPr>
              <w:t>AGENDA</w:t>
            </w:r>
          </w:p>
        </w:tc>
      </w:tr>
    </w:tbl>
    <w:p w:rsidR="005B7C93" w:rsidRDefault="005B7C93">
      <w:pPr>
        <w:spacing w:before="120"/>
        <w:rPr>
          <w:rFonts w:eastAsia="Arial"/>
        </w:rPr>
      </w:pPr>
      <w:bookmarkStart w:id="5" w:name="apAgenda"/>
      <w:bookmarkEnd w:id="4"/>
    </w:p>
    <w:p w:rsidR="005B7C93" w:rsidRDefault="008E1D57">
      <w:pPr>
        <w:spacing w:before="120"/>
        <w:ind w:left="864" w:hanging="432"/>
        <w:rPr>
          <w:rFonts w:eastAsia="Arial"/>
        </w:rPr>
      </w:pPr>
      <w:r>
        <w:rPr>
          <w:rFonts w:eastAsia="Arial"/>
        </w:rPr>
        <w:t>1.</w:t>
      </w:r>
      <w:r>
        <w:rPr>
          <w:rFonts w:ascii="Calibri" w:eastAsia="Calibri" w:hAnsi="Calibri" w:cs="Calibri"/>
        </w:rPr>
        <w:tab/>
      </w:r>
      <w:bookmarkStart w:id="6" w:name="appISb4d49f689351423c9eab667e466f4705"/>
      <w:r>
        <w:rPr>
          <w:rFonts w:eastAsia="Arial"/>
        </w:rPr>
        <w:t>The regularly scheduled Planning Commission Meeting for 10/27/20 has been canceled. </w:t>
      </w:r>
      <w:bookmarkEnd w:id="5"/>
      <w:bookmarkEnd w:id="6"/>
    </w:p>
    <w:p w:rsidR="005B7C93" w:rsidRDefault="005B7C9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3600"/>
        <w:gridCol w:w="5855"/>
      </w:tblGrid>
      <w:tr w:rsidR="005B7C93">
        <w:tc>
          <w:tcPr>
            <w:tcW w:w="10080" w:type="dxa"/>
            <w:gridSpan w:val="3"/>
            <w:shd w:val="clear" w:color="auto" w:fill="0F6CA6"/>
          </w:tcPr>
          <w:p w:rsidR="005B7C93" w:rsidRDefault="008E1D57">
            <w:pPr>
              <w:pStyle w:val="BodyText"/>
              <w:tabs>
                <w:tab w:val="left" w:pos="1440"/>
              </w:tabs>
              <w:spacing w:before="60" w:after="60"/>
              <w:jc w:val="center"/>
              <w:rPr>
                <w:rFonts w:ascii="Arial" w:eastAsia="Arial" w:hAnsi="Arial" w:cs="Arial"/>
                <w:b/>
                <w:bCs/>
                <w:sz w:val="22"/>
                <w:szCs w:val="22"/>
              </w:rPr>
            </w:pPr>
            <w:r>
              <w:rPr>
                <w:rFonts w:ascii="Arial" w:eastAsia="Arial" w:hAnsi="Arial" w:cs="Arial"/>
                <w:b/>
                <w:bCs/>
                <w:color w:val="FFFFFF"/>
                <w:sz w:val="22"/>
                <w:szCs w:val="22"/>
              </w:rPr>
              <w:t>CERTIFICATE OF MAILING/POSTING</w:t>
            </w:r>
          </w:p>
        </w:tc>
      </w:tr>
      <w:tr w:rsidR="005B7C93">
        <w:tc>
          <w:tcPr>
            <w:tcW w:w="10080" w:type="dxa"/>
            <w:gridSpan w:val="3"/>
          </w:tcPr>
          <w:p w:rsidR="005B7C93" w:rsidRDefault="008E1D57">
            <w:pPr>
              <w:pStyle w:val="BodyText"/>
              <w:tabs>
                <w:tab w:val="left" w:pos="1440"/>
              </w:tabs>
              <w:spacing w:before="120"/>
              <w:rPr>
                <w:rFonts w:ascii="Arial" w:eastAsia="Arial" w:hAnsi="Arial" w:cs="Arial"/>
                <w:sz w:val="22"/>
                <w:szCs w:val="22"/>
              </w:rPr>
            </w:pPr>
            <w:r>
              <w:rPr>
                <w:rFonts w:ascii="Arial" w:eastAsia="Arial" w:hAnsi="Arial" w:cs="Arial"/>
                <w:sz w:val="22"/>
                <w:szCs w:val="22"/>
              </w:rPr>
              <w:t xml:space="preserve">The undersigned duly appointed City Recorder for the municipality of Santaquin City hereby certifies that a copy of the foregoing Notice and Agenda was e-mailed to the Payson Chronicle, Payson, UT, 84651, posted on </w:t>
            </w:r>
            <w:hyperlink r:id="rId15" w:history="1">
              <w:r>
                <w:rPr>
                  <w:rStyle w:val="Hyperlink"/>
                  <w:rFonts w:ascii="Arial" w:eastAsia="Arial" w:hAnsi="Arial" w:cs="Arial"/>
                  <w:sz w:val="22"/>
                  <w:szCs w:val="22"/>
                </w:rPr>
                <w:t>www.santaquin.org</w:t>
              </w:r>
            </w:hyperlink>
            <w:r>
              <w:rPr>
                <w:rFonts w:ascii="Arial" w:eastAsia="Arial" w:hAnsi="Arial" w:cs="Arial"/>
                <w:sz w:val="22"/>
                <w:szCs w:val="22"/>
              </w:rPr>
              <w:t>, as well as posted on the State of Utah’s Public Website.</w:t>
            </w:r>
          </w:p>
          <w:p w:rsidR="005B7C93" w:rsidRDefault="005B7C93">
            <w:pPr>
              <w:pStyle w:val="BodyText"/>
              <w:tabs>
                <w:tab w:val="left" w:pos="1440"/>
              </w:tabs>
              <w:rPr>
                <w:rFonts w:ascii="Arial" w:eastAsia="Arial" w:hAnsi="Arial" w:cs="Arial"/>
                <w:sz w:val="22"/>
                <w:szCs w:val="22"/>
              </w:rPr>
            </w:pPr>
          </w:p>
        </w:tc>
      </w:tr>
      <w:tr w:rsidR="005B7C93">
        <w:tc>
          <w:tcPr>
            <w:tcW w:w="625" w:type="dxa"/>
            <w:vAlign w:val="bottom"/>
          </w:tcPr>
          <w:p w:rsidR="005B7C93" w:rsidRDefault="008E1D57">
            <w:pPr>
              <w:pStyle w:val="BodyText"/>
              <w:tabs>
                <w:tab w:val="left" w:pos="1440"/>
              </w:tabs>
              <w:jc w:val="left"/>
              <w:rPr>
                <w:rFonts w:ascii="Arial" w:eastAsia="Arial" w:hAnsi="Arial" w:cs="Arial"/>
                <w:sz w:val="22"/>
                <w:szCs w:val="22"/>
              </w:rPr>
            </w:pPr>
            <w:r>
              <w:rPr>
                <w:rFonts w:ascii="Arial" w:eastAsia="Arial" w:hAnsi="Arial" w:cs="Arial"/>
                <w:sz w:val="22"/>
                <w:szCs w:val="22"/>
              </w:rPr>
              <w:t>BY:</w:t>
            </w:r>
          </w:p>
        </w:tc>
        <w:tc>
          <w:tcPr>
            <w:tcW w:w="3600" w:type="dxa"/>
            <w:tcBorders>
              <w:bottom w:val="single" w:sz="8" w:space="0" w:color="auto"/>
            </w:tcBorders>
          </w:tcPr>
          <w:p w:rsidR="005B7C93" w:rsidRDefault="008E1D57">
            <w:pPr>
              <w:pStyle w:val="BodyText"/>
              <w:tabs>
                <w:tab w:val="left" w:pos="1440"/>
              </w:tabs>
              <w:rPr>
                <w:rFonts w:ascii="Arial" w:eastAsia="Arial" w:hAnsi="Arial" w:cs="Arial"/>
                <w:sz w:val="48"/>
                <w:szCs w:val="48"/>
              </w:rPr>
            </w:pPr>
            <w:r>
              <w:rPr>
                <w:rFonts w:ascii="Arial" w:eastAsia="Arial" w:hAnsi="Arial" w:cs="Arial"/>
                <w:noProof/>
                <w:sz w:val="22"/>
                <w:szCs w:val="22"/>
              </w:rPr>
              <w:drawing>
                <wp:anchor distT="0" distB="0" distL="114300" distR="114300" simplePos="0" relativeHeight="251658240" behindDoc="1" locked="0" layoutInCell="1" allowOverlap="1">
                  <wp:simplePos x="0" y="0"/>
                  <wp:positionH relativeFrom="column">
                    <wp:posOffset>-1270</wp:posOffset>
                  </wp:positionH>
                  <wp:positionV relativeFrom="paragraph">
                    <wp:posOffset>-254</wp:posOffset>
                  </wp:positionV>
                  <wp:extent cx="1796415" cy="528320"/>
                  <wp:effectExtent l="0" t="0" r="0" b="5080"/>
                  <wp:wrapNone/>
                  <wp:docPr id="2" name="Picture 2" descr="Aaron Shirle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cstate="print">
                            <a:extLst>
                              <a:ext uri="{28A0092B-C50C-407E-A947-70E740481C1C}">
                                <a14:useLocalDpi xmlns:a14="http://schemas.microsoft.com/office/drawing/2010/main" val="0"/>
                              </a:ext>
                            </a:extLst>
                          </a:blip>
                          <a:srcRect t="26618" b="9107"/>
                          <a:stretch>
                            <a:fillRect/>
                          </a:stretch>
                        </pic:blipFill>
                        <pic:spPr bwMode="auto">
                          <a:xfrm>
                            <a:off x="0" y="0"/>
                            <a:ext cx="1796415" cy="528320"/>
                          </a:xfrm>
                          <a:prstGeom prst="rect">
                            <a:avLst/>
                          </a:prstGeom>
                          <a:extLst>
                            <a:ext uri="{53640926-AAD7-44D8-BBD7-CCE9431645EC}">
                              <a14:shadowObscured xmlns:a14="http://schemas.microsoft.com/office/drawing/2010/main"/>
                            </a:ext>
                          </a:extLst>
                        </pic:spPr>
                      </pic:pic>
                    </a:graphicData>
                  </a:graphic>
                </wp:anchor>
              </w:drawing>
            </w:r>
            <w:r>
              <w:rPr>
                <w:rFonts w:ascii="Arial" w:eastAsia="Arial" w:hAnsi="Arial" w:cs="Arial"/>
                <w:sz w:val="144"/>
                <w:szCs w:val="144"/>
              </w:rPr>
              <w:t xml:space="preserve"> </w:t>
            </w:r>
          </w:p>
        </w:tc>
        <w:tc>
          <w:tcPr>
            <w:tcW w:w="5855" w:type="dxa"/>
          </w:tcPr>
          <w:p w:rsidR="005B7C93" w:rsidRDefault="005B7C93">
            <w:pPr>
              <w:pStyle w:val="BodyText"/>
              <w:tabs>
                <w:tab w:val="left" w:pos="1440"/>
              </w:tabs>
              <w:jc w:val="center"/>
              <w:rPr>
                <w:rFonts w:ascii="Arial" w:eastAsia="Arial" w:hAnsi="Arial" w:cs="Arial"/>
                <w:sz w:val="22"/>
                <w:szCs w:val="22"/>
              </w:rPr>
            </w:pPr>
          </w:p>
        </w:tc>
      </w:tr>
      <w:tr w:rsidR="000C7FD2">
        <w:tc>
          <w:tcPr>
            <w:tcW w:w="625" w:type="dxa"/>
          </w:tcPr>
          <w:p w:rsidR="000C7FD2" w:rsidRDefault="000C7FD2">
            <w:pPr>
              <w:pStyle w:val="BodyText"/>
              <w:tabs>
                <w:tab w:val="left" w:pos="1440"/>
              </w:tabs>
              <w:jc w:val="center"/>
              <w:rPr>
                <w:rFonts w:ascii="Arial" w:eastAsia="Arial" w:hAnsi="Arial" w:cs="Arial"/>
                <w:sz w:val="22"/>
                <w:szCs w:val="22"/>
              </w:rPr>
            </w:pPr>
          </w:p>
        </w:tc>
        <w:tc>
          <w:tcPr>
            <w:tcW w:w="3600" w:type="dxa"/>
            <w:tcBorders>
              <w:top w:val="single" w:sz="8" w:space="0" w:color="auto"/>
            </w:tcBorders>
          </w:tcPr>
          <w:p w:rsidR="000C7FD2" w:rsidRDefault="000C7FD2">
            <w:pPr>
              <w:pStyle w:val="BodyText"/>
              <w:tabs>
                <w:tab w:val="left" w:pos="1440"/>
              </w:tabs>
              <w:jc w:val="center"/>
              <w:rPr>
                <w:rFonts w:ascii="Arial" w:eastAsia="Arial" w:hAnsi="Arial" w:cs="Arial"/>
                <w:sz w:val="22"/>
                <w:szCs w:val="22"/>
              </w:rPr>
            </w:pPr>
          </w:p>
        </w:tc>
        <w:tc>
          <w:tcPr>
            <w:tcW w:w="5855" w:type="dxa"/>
          </w:tcPr>
          <w:p w:rsidR="000C7FD2" w:rsidRDefault="000C7FD2">
            <w:pPr>
              <w:pStyle w:val="BodyText"/>
              <w:tabs>
                <w:tab w:val="left" w:pos="1440"/>
              </w:tabs>
              <w:jc w:val="left"/>
              <w:rPr>
                <w:rFonts w:ascii="Arial" w:eastAsia="Arial" w:hAnsi="Arial" w:cs="Arial"/>
                <w:sz w:val="22"/>
                <w:szCs w:val="22"/>
              </w:rPr>
            </w:pPr>
          </w:p>
        </w:tc>
      </w:tr>
      <w:tr w:rsidR="005B7C93">
        <w:tc>
          <w:tcPr>
            <w:tcW w:w="625" w:type="dxa"/>
          </w:tcPr>
          <w:p w:rsidR="005B7C93" w:rsidRDefault="005B7C93">
            <w:pPr>
              <w:pStyle w:val="BodyText"/>
              <w:tabs>
                <w:tab w:val="left" w:pos="1440"/>
              </w:tabs>
              <w:jc w:val="center"/>
              <w:rPr>
                <w:rFonts w:ascii="Arial" w:eastAsia="Arial" w:hAnsi="Arial" w:cs="Arial"/>
                <w:sz w:val="22"/>
                <w:szCs w:val="22"/>
              </w:rPr>
            </w:pPr>
          </w:p>
        </w:tc>
        <w:tc>
          <w:tcPr>
            <w:tcW w:w="3600" w:type="dxa"/>
            <w:tcBorders>
              <w:top w:val="single" w:sz="8" w:space="0" w:color="auto"/>
            </w:tcBorders>
          </w:tcPr>
          <w:p w:rsidR="005B7C93" w:rsidRDefault="008E1D57">
            <w:pPr>
              <w:pStyle w:val="BodyText"/>
              <w:tabs>
                <w:tab w:val="left" w:pos="1440"/>
              </w:tabs>
              <w:jc w:val="center"/>
              <w:rPr>
                <w:rFonts w:ascii="Arial" w:eastAsia="Arial" w:hAnsi="Arial" w:cs="Arial"/>
                <w:sz w:val="22"/>
                <w:szCs w:val="22"/>
              </w:rPr>
            </w:pPr>
            <w:r>
              <w:rPr>
                <w:rFonts w:ascii="Arial" w:eastAsia="Arial" w:hAnsi="Arial" w:cs="Arial"/>
                <w:sz w:val="22"/>
                <w:szCs w:val="22"/>
              </w:rPr>
              <w:t xml:space="preserve">K. Aaron Shirley, </w:t>
            </w:r>
            <w:r>
              <w:rPr>
                <w:rFonts w:ascii="Arial" w:eastAsia="Arial" w:hAnsi="Arial" w:cs="Arial"/>
                <w:bCs/>
                <w:sz w:val="22"/>
                <w:szCs w:val="22"/>
              </w:rPr>
              <w:t>City Recorder</w:t>
            </w:r>
          </w:p>
        </w:tc>
        <w:tc>
          <w:tcPr>
            <w:tcW w:w="5855" w:type="dxa"/>
          </w:tcPr>
          <w:p w:rsidR="005B7C93" w:rsidRDefault="005B7C93">
            <w:pPr>
              <w:pStyle w:val="BodyText"/>
              <w:tabs>
                <w:tab w:val="left" w:pos="1440"/>
              </w:tabs>
              <w:jc w:val="left"/>
              <w:rPr>
                <w:rFonts w:ascii="Arial" w:eastAsia="Arial" w:hAnsi="Arial" w:cs="Arial"/>
                <w:sz w:val="22"/>
                <w:szCs w:val="22"/>
              </w:rPr>
            </w:pPr>
          </w:p>
        </w:tc>
      </w:tr>
    </w:tbl>
    <w:p w:rsidR="005B7C93" w:rsidRDefault="005B7C93"/>
    <w:sectPr w:rsidR="005B7C9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FD2" w:rsidRDefault="000C7FD2" w:rsidP="000C7FD2">
      <w:pPr>
        <w:spacing w:before="0" w:after="0"/>
      </w:pPr>
      <w:r>
        <w:separator/>
      </w:r>
    </w:p>
  </w:endnote>
  <w:endnote w:type="continuationSeparator" w:id="0">
    <w:p w:rsidR="000C7FD2" w:rsidRDefault="000C7FD2" w:rsidP="000C7F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FD2" w:rsidRDefault="000C7FD2" w:rsidP="000C7FD2">
      <w:pPr>
        <w:spacing w:before="0" w:after="0"/>
      </w:pPr>
      <w:r>
        <w:separator/>
      </w:r>
    </w:p>
  </w:footnote>
  <w:footnote w:type="continuationSeparator" w:id="0">
    <w:p w:rsidR="000C7FD2" w:rsidRDefault="000C7FD2" w:rsidP="000C7FD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C2936"/>
    <w:multiLevelType w:val="multilevel"/>
    <w:tmpl w:val="7C08D2DE"/>
    <w:lvl w:ilvl="0">
      <w:start w:val="1"/>
      <w:numFmt w:val="bullet"/>
      <w:lvlText w:val=""/>
      <w:lvlJc w:val="left"/>
      <w:pPr>
        <w:ind w:left="720" w:hanging="360"/>
      </w:pPr>
      <w:rPr>
        <w:rFonts w:ascii="Symbol" w:eastAsia="Symbol" w:hAnsi="Symbol" w:hint="default"/>
        <w:color w:val="auto"/>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1" w15:restartNumberingAfterBreak="0">
    <w:nsid w:val="40084063"/>
    <w:multiLevelType w:val="multilevel"/>
    <w:tmpl w:val="0562BAA0"/>
    <w:lvl w:ilvl="0">
      <w:start w:val="1"/>
      <w:numFmt w:val="bullet"/>
      <w:lvlText w:val=""/>
      <w:lvlJc w:val="left"/>
      <w:pPr>
        <w:ind w:left="1440" w:hanging="360"/>
      </w:pPr>
      <w:rPr>
        <w:rFonts w:ascii="Symbol" w:eastAsia="Symbol" w:hAnsi="Symbol" w:hint="default"/>
      </w:rPr>
    </w:lvl>
    <w:lvl w:ilvl="1">
      <w:start w:val="1"/>
      <w:numFmt w:val="bullet"/>
      <w:lvlText w:val="o"/>
      <w:lvlJc w:val="left"/>
      <w:pPr>
        <w:ind w:left="2160" w:hanging="360"/>
      </w:pPr>
      <w:rPr>
        <w:rFonts w:ascii="Courier New" w:eastAsia="Courier New" w:hAnsi="Courier New" w:cs="Courier New" w:hint="default"/>
      </w:rPr>
    </w:lvl>
    <w:lvl w:ilvl="2">
      <w:start w:val="1"/>
      <w:numFmt w:val="bullet"/>
      <w:lvlText w:val=""/>
      <w:lvlJc w:val="left"/>
      <w:pPr>
        <w:ind w:left="2880" w:hanging="360"/>
      </w:pPr>
      <w:rPr>
        <w:rFonts w:ascii="Wingdings" w:eastAsia="Wingdings" w:hAnsi="Wingdings" w:hint="default"/>
      </w:rPr>
    </w:lvl>
    <w:lvl w:ilvl="3">
      <w:start w:val="1"/>
      <w:numFmt w:val="bullet"/>
      <w:lvlText w:val=""/>
      <w:lvlJc w:val="left"/>
      <w:pPr>
        <w:ind w:left="3600" w:hanging="360"/>
      </w:pPr>
      <w:rPr>
        <w:rFonts w:ascii="Symbol" w:eastAsia="Symbol" w:hAnsi="Symbol" w:hint="default"/>
      </w:rPr>
    </w:lvl>
    <w:lvl w:ilvl="4">
      <w:start w:val="1"/>
      <w:numFmt w:val="bullet"/>
      <w:lvlText w:val="o"/>
      <w:lvlJc w:val="left"/>
      <w:pPr>
        <w:ind w:left="4320" w:hanging="360"/>
      </w:pPr>
      <w:rPr>
        <w:rFonts w:ascii="Courier New" w:eastAsia="Courier New" w:hAnsi="Courier New" w:cs="Courier New" w:hint="default"/>
      </w:rPr>
    </w:lvl>
    <w:lvl w:ilvl="5">
      <w:start w:val="1"/>
      <w:numFmt w:val="bullet"/>
      <w:lvlText w:val=""/>
      <w:lvlJc w:val="left"/>
      <w:pPr>
        <w:ind w:left="5040" w:hanging="360"/>
      </w:pPr>
      <w:rPr>
        <w:rFonts w:ascii="Wingdings" w:eastAsia="Wingdings" w:hAnsi="Wingdings" w:hint="default"/>
      </w:rPr>
    </w:lvl>
    <w:lvl w:ilvl="6">
      <w:start w:val="1"/>
      <w:numFmt w:val="bullet"/>
      <w:lvlText w:val=""/>
      <w:lvlJc w:val="left"/>
      <w:pPr>
        <w:ind w:left="5760" w:hanging="360"/>
      </w:pPr>
      <w:rPr>
        <w:rFonts w:ascii="Symbol" w:eastAsia="Symbol" w:hAnsi="Symbol" w:hint="default"/>
      </w:rPr>
    </w:lvl>
    <w:lvl w:ilvl="7">
      <w:start w:val="1"/>
      <w:numFmt w:val="bullet"/>
      <w:lvlText w:val="o"/>
      <w:lvlJc w:val="left"/>
      <w:pPr>
        <w:ind w:left="6480" w:hanging="360"/>
      </w:pPr>
      <w:rPr>
        <w:rFonts w:ascii="Courier New" w:eastAsia="Courier New" w:hAnsi="Courier New" w:cs="Courier New" w:hint="default"/>
      </w:rPr>
    </w:lvl>
    <w:lvl w:ilvl="8">
      <w:start w:val="1"/>
      <w:numFmt w:val="bullet"/>
      <w:lvlText w:val=""/>
      <w:lvlJc w:val="left"/>
      <w:pPr>
        <w:ind w:left="7200" w:hanging="360"/>
      </w:pPr>
      <w:rPr>
        <w:rFonts w:ascii="Wingdings" w:eastAsia="Wingdings" w:hAnsi="Wingdings" w:hint="default"/>
      </w:rPr>
    </w:lvl>
  </w:abstractNum>
  <w:abstractNum w:abstractNumId="2" w15:restartNumberingAfterBreak="0">
    <w:nsid w:val="454228F5"/>
    <w:multiLevelType w:val="multilevel"/>
    <w:tmpl w:val="0E3426A6"/>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93"/>
    <w:rsid w:val="000C7FD2"/>
    <w:rsid w:val="005B7C93"/>
    <w:rsid w:val="008E1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97307"/>
  <w15:docId w15:val="{8B5F60BF-129F-4CE9-9ADE-737EADE8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before="2" w:after="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before="0"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rPr>
      <w:rFonts w:cstheme="minorBidi"/>
    </w:rPr>
  </w:style>
  <w:style w:type="character" w:styleId="Hyperlink">
    <w:name w:val="Hyperlink"/>
    <w:basedOn w:val="DefaultParagraphFont"/>
    <w:rPr>
      <w:color w:val="0000FF"/>
      <w:u w:val="single"/>
    </w:rPr>
  </w:style>
  <w:style w:type="paragraph" w:styleId="BodyText">
    <w:name w:val="Body Text"/>
    <w:basedOn w:val="Normal"/>
    <w:link w:val="BodyTextChar"/>
    <w:pPr>
      <w:spacing w:before="0" w:after="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0C7FD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F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blicComment@Santaqui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channel/UCTzZT_yW2H2Hd-58M2_ddS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antaquin.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ublicComment@Santaquin.org"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DB6621D8FD344A95334045EF0E44B0" ma:contentTypeVersion="12" ma:contentTypeDescription="Create a new document." ma:contentTypeScope="" ma:versionID="5eec553945f22014416d5a3233289320">
  <xsd:schema xmlns:xsd="http://www.w3.org/2001/XMLSchema" xmlns:xs="http://www.w3.org/2001/XMLSchema" xmlns:p="http://schemas.microsoft.com/office/2006/metadata/properties" xmlns:ns2="9f7d4a3e-eef6-4050-a558-8b258a62aa84" xmlns:ns3="596d0ab4-2578-4c1c-832d-cb69dfd809f4" targetNamespace="http://schemas.microsoft.com/office/2006/metadata/properties" ma:root="true" ma:fieldsID="91159e6d7b1bc3a6ac02e264b5ccfb5a" ns2:_="" ns3:_="">
    <xsd:import namespace="9f7d4a3e-eef6-4050-a558-8b258a62aa84"/>
    <xsd:import namespace="596d0ab4-2578-4c1c-832d-cb69dfd809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d4a3e-eef6-4050-a558-8b258a62a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6d0ab4-2578-4c1c-832d-cb69dfd809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60D9A-8866-4695-8B7D-B85757163820}">
  <ds:schemaRefs>
    <ds:schemaRef ds:uri="http://purl.org/dc/terms/"/>
    <ds:schemaRef ds:uri="9f7d4a3e-eef6-4050-a558-8b258a62aa84"/>
    <ds:schemaRef ds:uri="596d0ab4-2578-4c1c-832d-cb69dfd809f4"/>
    <ds:schemaRef ds:uri="http://schemas.microsoft.com/office/2006/metadata/properties"/>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6C97EB7-9605-4EAD-8B92-F595A0511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d4a3e-eef6-4050-a558-8b258a62aa84"/>
    <ds:schemaRef ds:uri="596d0ab4-2578-4c1c-832d-cb69dfd80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98748-8542-492D-8D28-E75F6BE33A4C}">
  <ds:schemaRefs>
    <ds:schemaRef ds:uri="http://schemas.microsoft.com/sharepoint/v3/contenttype/forms"/>
  </ds:schemaRefs>
</ds:datastoreItem>
</file>

<file path=customXml/itemProps4.xml><?xml version="1.0" encoding="utf-8"?>
<ds:datastoreItem xmlns:ds="http://schemas.openxmlformats.org/officeDocument/2006/customXml" ds:itemID="{9AE38271-96B8-46AE-891E-7CD792CED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Santaqun UT Agenda</vt:lpstr>
    </vt:vector>
  </TitlesOfParts>
  <Company>Municipal Code Corporation</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Santaqun UT Agenda</dc:title>
  <dc:subject/>
  <dc:creator>Emily Lobbato</dc:creator>
  <cp:keywords/>
  <dc:description/>
  <cp:lastModifiedBy>Kira Petersen</cp:lastModifiedBy>
  <cp:revision>3</cp:revision>
  <cp:lastPrinted>2020-10-23T18:13:00Z</cp:lastPrinted>
  <dcterms:created xsi:type="dcterms:W3CDTF">2020-10-23T16:50:00Z</dcterms:created>
  <dcterms:modified xsi:type="dcterms:W3CDTF">2020-10-23T18:13:00Z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0x01010065DB6621D8FD344A95334045EF0E44B0</vt:lpwstr>
  </property>
</Properties>
</file>